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B8" w:rsidRDefault="00A77BB8" w:rsidP="00A77BB8">
      <w:pPr>
        <w:spacing w:before="240" w:after="160" w:line="240" w:lineRule="auto"/>
        <w:jc w:val="both"/>
      </w:pPr>
      <w:r>
        <w:t>Em 2018, o TSE respondeu a consulta da Senadora Maria de Fátima Bezerra, do PT-RN, apresentou a seguinte consulta (CONSULTA 0604054-58.2017.6.00.0000):</w:t>
      </w:r>
    </w:p>
    <w:p w:rsidR="00A77BB8" w:rsidRDefault="00A77BB8" w:rsidP="00A77BB8">
      <w:pPr>
        <w:spacing w:before="240" w:after="160" w:line="240" w:lineRule="auto"/>
        <w:ind w:left="1417"/>
        <w:jc w:val="both"/>
        <w:rPr>
          <w:i/>
        </w:rPr>
      </w:pPr>
      <w:r>
        <w:rPr>
          <w:i/>
        </w:rPr>
        <w:t xml:space="preserve">“A expressão ‘cada sexo’ contida no art. 10, § 3º, da Lei das Eleições se refere ao sexo biológico ou ao gênero? Homens e mulheres </w:t>
      </w:r>
      <w:proofErr w:type="spellStart"/>
      <w:r>
        <w:rPr>
          <w:i/>
        </w:rPr>
        <w:t>trans</w:t>
      </w:r>
      <w:proofErr w:type="spellEnd"/>
      <w:r>
        <w:rPr>
          <w:i/>
        </w:rPr>
        <w:t xml:space="preserve"> devem ser contabilizados nas cotas respectivas, feminina e masculina?</w:t>
      </w:r>
    </w:p>
    <w:p w:rsidR="00A77BB8" w:rsidRDefault="00A77BB8" w:rsidP="00A77BB8">
      <w:pPr>
        <w:spacing w:before="280" w:after="280" w:line="240" w:lineRule="auto"/>
        <w:ind w:left="1420"/>
        <w:jc w:val="both"/>
        <w:rPr>
          <w:i/>
        </w:rPr>
      </w:pPr>
      <w:r>
        <w:rPr>
          <w:i/>
        </w:rPr>
        <w:t>A determinação de que o candidato deve ‘indicar seu nome completo’, contida no art. 12, caput, da Lei das Eleições, no pedido de candidatura se refere ao nome social ou ao nome civil? É lícito que os(as) candidatos(as) indiquem somente seus nomes sociais, se fizerem prova que as certidões referem a eles próprios?</w:t>
      </w:r>
    </w:p>
    <w:p w:rsidR="00A77BB8" w:rsidRDefault="00A77BB8" w:rsidP="00A77BB8">
      <w:pPr>
        <w:spacing w:before="280" w:after="280" w:line="240" w:lineRule="auto"/>
        <w:ind w:left="1420"/>
        <w:jc w:val="both"/>
        <w:rPr>
          <w:i/>
        </w:rPr>
      </w:pPr>
      <w:r>
        <w:rPr>
          <w:i/>
        </w:rPr>
        <w:t xml:space="preserve">Caso as pessoas </w:t>
      </w:r>
      <w:proofErr w:type="spellStart"/>
      <w:r>
        <w:rPr>
          <w:i/>
        </w:rPr>
        <w:t>trans</w:t>
      </w:r>
      <w:proofErr w:type="spellEnd"/>
      <w:r>
        <w:rPr>
          <w:i/>
        </w:rPr>
        <w:t xml:space="preserve"> devam indicar seu nome civil, é possível que sejam indicadas, nas urnas eletrônicas e demais cadastros eleitorais, apenas por seus nomes sociais?</w:t>
      </w:r>
    </w:p>
    <w:p w:rsidR="00A77BB8" w:rsidRDefault="00A77BB8" w:rsidP="00A77BB8">
      <w:pPr>
        <w:spacing w:before="280" w:after="280" w:line="240" w:lineRule="auto"/>
        <w:ind w:left="1420"/>
        <w:jc w:val="both"/>
        <w:rPr>
          <w:i/>
        </w:rPr>
      </w:pPr>
      <w:r>
        <w:rPr>
          <w:i/>
        </w:rPr>
        <w:t>A expressão contida na mesma norma ‘não estabeleça dúvida quanto à sua identidade’ aplica-se à identidade de gênero, enquanto especificação do direito de personalidade à identidade pessoal?</w:t>
      </w:r>
    </w:p>
    <w:p w:rsidR="00A77BB8" w:rsidRDefault="00A77BB8" w:rsidP="00A77BB8">
      <w:pPr>
        <w:spacing w:before="280" w:after="280" w:line="240" w:lineRule="auto"/>
        <w:ind w:left="1420"/>
        <w:jc w:val="both"/>
        <w:rPr>
          <w:i/>
        </w:rPr>
      </w:pPr>
      <w:r>
        <w:rPr>
          <w:i/>
        </w:rPr>
        <w:t>O uso dos nomes sociais, mesmo equiparados aos ‘apelidos’ a que se refere a norma do art. 12 da Lei das Eleições, se restringe às candidaturas proporcionais ou aplica-se às candidaturas majoritárias?”</w:t>
      </w:r>
    </w:p>
    <w:p w:rsidR="00A77BB8" w:rsidRDefault="00A77BB8" w:rsidP="00A77BB8">
      <w:pPr>
        <w:spacing w:before="240" w:after="160" w:line="240" w:lineRule="auto"/>
        <w:jc w:val="both"/>
      </w:pPr>
      <w:r>
        <w:t>O TSE conheceu da consulta, para responder da seguinte forma:</w:t>
      </w:r>
    </w:p>
    <w:p w:rsidR="00A77BB8" w:rsidRDefault="00A77BB8" w:rsidP="00A77BB8">
      <w:pPr>
        <w:spacing w:after="240" w:line="240" w:lineRule="auto"/>
        <w:ind w:left="1417"/>
        <w:jc w:val="both"/>
        <w:rPr>
          <w:i/>
        </w:rPr>
      </w:pPr>
      <w:r>
        <w:rPr>
          <w:i/>
        </w:rPr>
        <w:t>“(...)</w:t>
      </w:r>
    </w:p>
    <w:p w:rsidR="00A77BB8" w:rsidRDefault="00A77BB8" w:rsidP="00A77BB8">
      <w:pPr>
        <w:spacing w:after="240" w:line="240" w:lineRule="auto"/>
        <w:ind w:left="1417"/>
        <w:jc w:val="both"/>
        <w:rPr>
          <w:i/>
        </w:rPr>
      </w:pPr>
      <w:r>
        <w:rPr>
          <w:i/>
        </w:rPr>
        <w:t>1. A expressão ‘cada sexo’ mencionada no art. 10, § 3º, da Lei nº 9.504/97 refere-se ao gênero, e não ao sexo biológico, de forma que tanto os homens como as mulheres transexuais e travestis podem ser contabilizados nas respectivas cotas de candidaturas masculina ou feminina. Para tanto, devem figurar como tal nos requerimentos de alistamento eleitoral, nos termos estabelecidos pelo art. 91, caput, da Lei das Eleições, haja vista que a verificação do gênero para o efeito de registro de candidatura deverá atender aos requisitos previstos na Res.-TSE nº 21.538/2003 e demais normas de regência.</w:t>
      </w:r>
    </w:p>
    <w:p w:rsidR="00A77BB8" w:rsidRDefault="00A77BB8" w:rsidP="00A77BB8">
      <w:pPr>
        <w:spacing w:before="240" w:after="240" w:line="240" w:lineRule="auto"/>
        <w:ind w:left="1417"/>
        <w:jc w:val="both"/>
        <w:rPr>
          <w:i/>
        </w:rPr>
      </w:pPr>
      <w:r>
        <w:rPr>
          <w:i/>
        </w:rPr>
        <w:t>2. A expressão contida no art. 12, caput, da Lei nº 9.504/97, de que o candidato deve ‘indicar seu nome completo’ no pedido de registro candidatura, refere-se ao nome civil, constante do cadastro eleitoral, por ser imprescindível ao exame das certidões negativas exigidas no pedido de registro de candidatura, o qual deverá ser restrito ao âmbito interno da Justiça Eleitoral, enquanto o nome social deverá ser utilizado nas divulgações públicas.</w:t>
      </w:r>
    </w:p>
    <w:p w:rsidR="00A77BB8" w:rsidRDefault="00A77BB8" w:rsidP="00A77BB8">
      <w:pPr>
        <w:spacing w:before="240" w:after="240" w:line="240" w:lineRule="auto"/>
        <w:ind w:left="1417"/>
        <w:jc w:val="both"/>
        <w:rPr>
          <w:i/>
        </w:rPr>
      </w:pPr>
      <w:r>
        <w:rPr>
          <w:i/>
        </w:rPr>
        <w:t>3. É possível o uso exclusivo do nome social nas urnas eletrônicas, observados os parâmetros do art. 12 da Lei nº 9.504/97, que permite o registro do ‘prenome, sobrenome, cognome, nome abreviado, apelido ou nome pelo qual é mais conhecido, desde que não se estabeleça dúvida quanto à sua identidade, não atente contra o pudor e não seja ridículo ou irreverente’.</w:t>
      </w:r>
    </w:p>
    <w:p w:rsidR="00A77BB8" w:rsidRDefault="00A77BB8" w:rsidP="00A77BB8">
      <w:pPr>
        <w:spacing w:before="240" w:after="240" w:line="240" w:lineRule="auto"/>
        <w:ind w:left="1417"/>
        <w:jc w:val="both"/>
        <w:rPr>
          <w:i/>
        </w:rPr>
      </w:pPr>
      <w:r>
        <w:rPr>
          <w:i/>
        </w:rPr>
        <w:lastRenderedPageBreak/>
        <w:t>4. A expressão ‘não estabeleça dúvida quanto à sua identidade’, prevista no caput do art. 12 da Lei nº 9.504/97, refere-se à identificação do(a) candidato(a) conforme seja conhecido(a), inclusive quanto à identidade de gênero.</w:t>
      </w:r>
    </w:p>
    <w:p w:rsidR="00A77BB8" w:rsidRDefault="00A77BB8" w:rsidP="00A77BB8">
      <w:pPr>
        <w:spacing w:before="240" w:after="240" w:line="240" w:lineRule="auto"/>
        <w:ind w:left="1417"/>
        <w:jc w:val="both"/>
        <w:rPr>
          <w:i/>
        </w:rPr>
      </w:pPr>
      <w:r>
        <w:rPr>
          <w:i/>
        </w:rPr>
        <w:t xml:space="preserve">5. O nome social poderá ser utilizado tanto nas candidaturas proporcionais como nas majoritárias, haja vista que o art. 11 da Lei nº 9.504/97, ao estabelecer o rol de dados e documentos que devem instruir o pedido de registro, não faz nenhuma distinção nesse sentido.  </w:t>
      </w:r>
    </w:p>
    <w:p w:rsidR="00A77BB8" w:rsidRDefault="00A77BB8" w:rsidP="00A77BB8">
      <w:pPr>
        <w:spacing w:before="240" w:after="240" w:line="240" w:lineRule="auto"/>
        <w:ind w:left="1417"/>
        <w:jc w:val="both"/>
      </w:pPr>
      <w:r>
        <w:rPr>
          <w:i/>
        </w:rPr>
        <w:t xml:space="preserve">6. Acolhe-se a manifestação da Assessoria Consultiva no sentido de que a </w:t>
      </w:r>
      <w:proofErr w:type="spellStart"/>
      <w:r>
        <w:rPr>
          <w:i/>
        </w:rPr>
        <w:t>autodeclaração</w:t>
      </w:r>
      <w:proofErr w:type="spellEnd"/>
      <w:r>
        <w:rPr>
          <w:i/>
        </w:rPr>
        <w:t xml:space="preserve"> de gênero deve ser manifestada por ocasião do alistamento eleitoral ou da atualização dos dados do cadastro eleitoral, ou seja, até cento e cinquenta dias à data das eleições, nos termos do art. 91, caput, da Lei nº 9.504/97, razão pela qual se propõe a edição de regras específicas sobre o tema que disponham, igualmente, sobre a adoção de um novo modelo de título eleitoral no qual possa constar o nome social, sem prejuízo do nome civil do eleitor”. (Consulta nº 060405458, Acórdão, Relator(a) Min. </w:t>
      </w:r>
      <w:proofErr w:type="spellStart"/>
      <w:r>
        <w:rPr>
          <w:i/>
        </w:rPr>
        <w:t>Tarcisio</w:t>
      </w:r>
      <w:proofErr w:type="spellEnd"/>
      <w:r>
        <w:rPr>
          <w:i/>
        </w:rPr>
        <w:t xml:space="preserve"> Vieira De Carvalho Neto, Publicação:  DJE - Diário de justiça eletrônico, Tomo 63, Data 03/04/2018)</w:t>
      </w:r>
    </w:p>
    <w:p w:rsidR="00CF2CD2" w:rsidRDefault="00A77BB8">
      <w:bookmarkStart w:id="0" w:name="_GoBack"/>
      <w:bookmarkEnd w:id="0"/>
    </w:p>
    <w:sectPr w:rsidR="00CF2C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B8"/>
    <w:rsid w:val="003A3918"/>
    <w:rsid w:val="00A77BB8"/>
    <w:rsid w:val="00AE52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427EC-C80F-4CA9-AECC-3F2C8CC9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7BB8"/>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3298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Tribunal Regional Eleitoral do Paraná</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samc</dc:creator>
  <cp:keywords/>
  <dc:description/>
  <cp:lastModifiedBy>samc</cp:lastModifiedBy>
  <cp:revision>1</cp:revision>
  <dcterms:created xsi:type="dcterms:W3CDTF">2020-04-01T21:51:00Z</dcterms:created>
  <dcterms:modified xsi:type="dcterms:W3CDTF">2020-04-01T21:52:00Z</dcterms:modified>
</cp:coreProperties>
</file>